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240" w:before="240" w:lineRule="auto"/>
        <w:rPr>
          <w:b w:val="1"/>
          <w:smallCaps w:val="1"/>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widowControl w:val="1"/>
        <w:spacing w:after="240" w:before="240" w:lineRule="auto"/>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4">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widowControl w:val="1"/>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6">
      <w:pPr>
        <w:widowControl w:val="1"/>
        <w:spacing w:after="240" w:before="240" w:lineRule="auto"/>
        <w:jc w:val="center"/>
        <w:rPr>
          <w:b w:val="1"/>
          <w:smallCaps w:val="1"/>
          <w:highlight w:val="white"/>
        </w:rPr>
      </w:pPr>
      <w:r w:rsidDel="00000000" w:rsidR="00000000" w:rsidRPr="00000000">
        <w:rPr>
          <w:b w:val="1"/>
          <w:smallCaps w:val="1"/>
          <w:rtl w:val="0"/>
        </w:rPr>
        <w:t xml:space="preserve">REPRESENTED BY THE GOVERNMENT PROPERTY AGENCY</w:t>
      </w:r>
      <w:r w:rsidDel="00000000" w:rsidR="00000000" w:rsidRPr="00000000">
        <w:rPr>
          <w:rtl w:val="0"/>
        </w:rPr>
      </w:r>
    </w:p>
    <w:p w:rsidR="00000000" w:rsidDel="00000000" w:rsidP="00000000" w:rsidRDefault="00000000" w:rsidRPr="00000000" w14:paraId="00000007">
      <w:pPr>
        <w:widowControl w:val="1"/>
        <w:spacing w:after="240" w:before="240" w:lineRule="auto"/>
        <w:jc w:val="center"/>
        <w:rPr>
          <w:b w:val="1"/>
          <w:smallCaps w:val="1"/>
        </w:rPr>
      </w:pPr>
      <w:bookmarkStart w:colFirst="0" w:colLast="0" w:name="_heading=h.2et92p0" w:id="2"/>
      <w:bookmarkEnd w:id="2"/>
      <w:r w:rsidDel="00000000" w:rsidR="00000000" w:rsidRPr="00000000">
        <w:rPr>
          <w:b w:val="1"/>
          <w:smallCaps w:val="1"/>
          <w:rtl w:val="0"/>
        </w:rPr>
        <w:t xml:space="preserve">AND</w:t>
      </w:r>
    </w:p>
    <w:p w:rsidR="00000000" w:rsidDel="00000000" w:rsidP="00000000" w:rsidRDefault="00000000" w:rsidRPr="00000000" w14:paraId="00000008">
      <w:pPr>
        <w:widowControl w:val="1"/>
        <w:spacing w:after="240" w:before="240"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9">
      <w:pPr>
        <w:widowControl w:val="1"/>
        <w:spacing w:after="240" w:before="240" w:line="240" w:lineRule="auto"/>
        <w:ind w:left="-2" w:hanging="2"/>
        <w:jc w:val="center"/>
        <w:rPr>
          <w:rFonts w:ascii="Times New Roman" w:cs="Times New Roman" w:eastAsia="Times New Roman" w:hAnsi="Times New Roman"/>
          <w:sz w:val="24"/>
          <w:szCs w:val="24"/>
        </w:rPr>
      </w:pPr>
      <w:r w:rsidDel="00000000" w:rsidR="00000000" w:rsidRPr="00000000">
        <w:rPr>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A">
      <w:pPr>
        <w:widowControl w:val="1"/>
        <w:spacing w:after="240" w:before="240" w:line="240" w:lineRule="auto"/>
        <w:ind w:left="-2" w:hanging="2"/>
        <w:jc w:val="center"/>
        <w:rPr>
          <w:rFonts w:ascii="Times New Roman" w:cs="Times New Roman" w:eastAsia="Times New Roman" w:hAnsi="Times New Roman"/>
          <w:sz w:val="24"/>
          <w:szCs w:val="24"/>
        </w:rPr>
      </w:pPr>
      <w:r w:rsidDel="00000000" w:rsidR="00000000" w:rsidRPr="00000000">
        <w:rPr>
          <w:b w:val="1"/>
          <w:smallCaps w:val="1"/>
          <w:rtl w:val="0"/>
        </w:rPr>
        <w:t xml:space="preserve">REF: RM3830</w:t>
      </w:r>
      <w:r w:rsidDel="00000000" w:rsidR="00000000" w:rsidRPr="00000000">
        <w:rPr>
          <w:rtl w:val="0"/>
        </w:rPr>
      </w:r>
    </w:p>
    <w:p w:rsidR="00000000" w:rsidDel="00000000" w:rsidP="00000000" w:rsidRDefault="00000000" w:rsidRPr="00000000" w14:paraId="0000000B">
      <w:pPr>
        <w:widowControl w:val="1"/>
        <w:tabs>
          <w:tab w:val="center" w:leader="none" w:pos="4513"/>
          <w:tab w:val="left" w:leader="none" w:pos="5724"/>
        </w:tabs>
        <w:spacing w:after="240" w:before="240" w:lineRule="auto"/>
        <w:rPr>
          <w:b w:val="1"/>
          <w:smallCaps w:val="1"/>
        </w:rPr>
      </w:pPr>
      <w:bookmarkStart w:colFirst="0" w:colLast="0" w:name="_heading=h.tyjcwt" w:id="3"/>
      <w:bookmarkEnd w:id="3"/>
      <w:r w:rsidDel="00000000" w:rsidR="00000000" w:rsidRPr="00000000">
        <w:rPr>
          <w:rtl w:val="0"/>
        </w:rPr>
      </w:r>
    </w:p>
    <w:p w:rsidR="00000000" w:rsidDel="00000000" w:rsidP="00000000" w:rsidRDefault="00000000" w:rsidRPr="00000000" w14:paraId="0000000C">
      <w:pPr>
        <w:widowControl w:val="1"/>
        <w:tabs>
          <w:tab w:val="center" w:leader="none" w:pos="4513"/>
          <w:tab w:val="left" w:leader="none" w:pos="5724"/>
        </w:tabs>
        <w:spacing w:after="240" w:before="240" w:lineRule="auto"/>
        <w:rPr>
          <w:b w:val="1"/>
          <w:smallCaps w:val="1"/>
        </w:rPr>
      </w:pPr>
      <w:r w:rsidDel="00000000" w:rsidR="00000000" w:rsidRPr="00000000">
        <w:rPr>
          <w:rtl w:val="0"/>
        </w:rPr>
      </w:r>
    </w:p>
    <w:p w:rsidR="00000000" w:rsidDel="00000000" w:rsidP="00000000" w:rsidRDefault="00000000" w:rsidRPr="00000000" w14:paraId="0000000D">
      <w:pPr>
        <w:widowControl w:val="1"/>
        <w:tabs>
          <w:tab w:val="center" w:leader="none" w:pos="4513"/>
          <w:tab w:val="left" w:leader="none" w:pos="5724"/>
        </w:tabs>
        <w:spacing w:after="240" w:before="240" w:lineRule="auto"/>
        <w:rPr>
          <w:b w:val="1"/>
          <w:smallCaps w:val="1"/>
        </w:rPr>
      </w:pPr>
      <w:bookmarkStart w:colFirst="0" w:colLast="0" w:name="_heading=h.3dy6vkm" w:id="4"/>
      <w:bookmarkEnd w:id="4"/>
      <w:r w:rsidDel="00000000" w:rsidR="00000000" w:rsidRPr="00000000">
        <w:rPr>
          <w:b w:val="1"/>
          <w:smallCaps w:val="1"/>
          <w:rtl w:val="0"/>
        </w:rPr>
        <w:tab/>
      </w:r>
    </w:p>
    <w:p w:rsidR="00000000" w:rsidDel="00000000" w:rsidP="00000000" w:rsidRDefault="00000000" w:rsidRPr="00000000" w14:paraId="0000000E">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F">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10">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1">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2">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3">
      <w:pPr>
        <w:widowControl w:val="1"/>
        <w:rPr>
          <w:rFonts w:ascii="Arial" w:cs="Arial" w:eastAsia="Arial" w:hAnsi="Arial"/>
          <w:b w:val="1"/>
          <w:smallCaps w:val="1"/>
          <w:sz w:val="20"/>
          <w:szCs w:val="20"/>
        </w:rPr>
      </w:pPr>
      <w:bookmarkStart w:colFirst="0" w:colLast="0" w:name="_heading=h.1t3h5sf" w:id="5"/>
      <w:bookmarkEnd w:id="5"/>
      <w:r w:rsidDel="00000000" w:rsidR="00000000" w:rsidRPr="00000000">
        <w:br w:type="page"/>
      </w:r>
      <w:r w:rsidDel="00000000" w:rsidR="00000000" w:rsidRPr="00000000">
        <w:rPr>
          <w:rtl w:val="0"/>
        </w:rPr>
      </w:r>
    </w:p>
    <w:p w:rsidR="00000000" w:rsidDel="00000000" w:rsidP="00000000" w:rsidRDefault="00000000" w:rsidRPr="00000000" w14:paraId="00000014">
      <w:pPr>
        <w:widowControl w:val="1"/>
        <w:tabs>
          <w:tab w:val="center" w:leader="none" w:pos="4513"/>
          <w:tab w:val="right" w:leader="none" w:pos="9016"/>
        </w:tabs>
        <w:spacing w:after="0" w:line="240" w:lineRule="auto"/>
        <w:jc w:val="center"/>
        <w:rPr>
          <w:b w:val="1"/>
          <w:smallCaps w:val="1"/>
        </w:rPr>
      </w:pPr>
      <w:bookmarkStart w:colFirst="0" w:colLast="0" w:name="_heading=h.4d34og8" w:id="6"/>
      <w:bookmarkEnd w:id="6"/>
      <w:r w:rsidDel="00000000" w:rsidR="00000000" w:rsidRPr="00000000">
        <w:rPr>
          <w:b w:val="1"/>
          <w:smallCaps w:val="1"/>
          <w:rtl w:val="0"/>
        </w:rPr>
        <w:t xml:space="preserve">JOINT SCHEDULE 11</w:t>
      </w:r>
    </w:p>
    <w:p w:rsidR="00000000" w:rsidDel="00000000" w:rsidP="00000000" w:rsidRDefault="00000000" w:rsidRPr="00000000" w14:paraId="00000015">
      <w:pPr>
        <w:widowControl w:val="1"/>
        <w:tabs>
          <w:tab w:val="center" w:leader="none" w:pos="4513"/>
          <w:tab w:val="right" w:leader="none" w:pos="901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16">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bookmarkStart w:colFirst="0" w:colLast="0" w:name="_heading=h.2s8eyo1" w:id="7"/>
      <w:bookmarkEnd w:id="7"/>
      <w:r w:rsidDel="00000000" w:rsidR="00000000" w:rsidRPr="00000000">
        <w:rPr>
          <w:b w:val="1"/>
          <w:smallCaps w:val="1"/>
          <w:rtl w:val="0"/>
        </w:rPr>
        <w:t xml:space="preserve">PROCESSING DATA</w:t>
      </w:r>
      <w:r w:rsidDel="00000000" w:rsidR="00000000" w:rsidRPr="00000000">
        <w:rPr>
          <w:rtl w:val="0"/>
        </w:rPr>
      </w:r>
    </w:p>
    <w:p w:rsidR="00000000" w:rsidDel="00000000" w:rsidP="00000000" w:rsidRDefault="00000000" w:rsidRPr="00000000" w14:paraId="00000017">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 Only the Relevant Authority can decide what processing of Personal Data a Supplier can do under a Contract and must specify it for each Contract using the template in Annex 1 (Authorised Processing) to this Schedule.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2. The Supplier must only process Personal Data if authorised to do so in Annex 1 (Authorised Processing) by the Relevant Authority. Any further written instructions relating to the processing of Personal Data are incorporated into Annex 1 to this Schedule.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3. The Supplier must give all reasonable assistance to the Relevant Authority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in the preparation of any Data Protection Impact Assessment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before starting any processing, including:</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lnxbz9" w:id="11"/>
      <w:bookmarkEnd w:id="11"/>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 systematic description of the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expected processing and its purpose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44sinio" w:id="12"/>
      <w:bookmarkEnd w:id="12"/>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necessity and proportionality of the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processing operations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3j2qqm3" w:id="13"/>
      <w:bookmarkEnd w:id="13"/>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risks to the rights and freedoms of Data Subjects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2xcytpi" w:id="14"/>
      <w:bookmarkEnd w:id="14"/>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intended measures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to address the risks, including safeguards, security measures and mechanisms to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protect Personal Data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whwml4" w:id="15"/>
      <w:bookmarkEnd w:id="15"/>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4. The Supplier must notify the Relevant Authority immediately if it thinks the Relevant Authority's instructions breach the Data Protection Legislation.</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2bn6wsx" w:id="16"/>
      <w:bookmarkEnd w:id="16"/>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5. The Supplier must put in place appropriate Protective Measures to protect against a Data Loss Event which must be approved by the Relevant Authority.</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qsh70q" w:id="17"/>
      <w:bookmarkEnd w:id="17"/>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6. If lawful to notify the Relevant Authority, the Supplier must notify it if the Supplier is required to process Personal Data by Law promptly and before processing it.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7. The Supplier must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comply with the provision of Call-Off Schedule 11: Processing Data and Call-Off Schedule 26: Special terms – Term 23 and mus</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take all reasonable steps to ensure the reliability and integrity of any Supplier Staff who have access to the Personal Data and ensure that they:</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aware of and comply with the Supplier’s duties under this Schedule</w:t>
      </w:r>
    </w:p>
    <w:p w:rsidR="00000000" w:rsidDel="00000000" w:rsidP="00000000" w:rsidRDefault="00000000" w:rsidRPr="00000000" w14:paraId="000000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subject to appropriate confidentiality undertakings with the Supplier or any Sub processor</w:t>
      </w:r>
    </w:p>
    <w:p w:rsidR="00000000" w:rsidDel="00000000" w:rsidP="00000000" w:rsidRDefault="00000000" w:rsidRPr="00000000" w14:paraId="000000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informed of the confidential nature of the Personal Data and do not provide any of the Personal Data to any third Party unless directed in writing to do so by the Relevant Authority or as otherwise allowed by a Contract</w:t>
      </w:r>
    </w:p>
    <w:p w:rsidR="00000000" w:rsidDel="00000000" w:rsidP="00000000" w:rsidRDefault="00000000" w:rsidRPr="00000000" w14:paraId="000000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have undergone adequate training in the use, care, protection and handling of Personal Data</w:t>
      </w:r>
    </w:p>
    <w:p w:rsidR="00000000" w:rsidDel="00000000" w:rsidP="00000000" w:rsidRDefault="00000000" w:rsidRPr="00000000" w14:paraId="0000002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widowControl w:val="1"/>
        <w:spacing w:after="0" w:before="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8. The Supplier must not transfer Personal Data outside of the EU unless all of the following are true:</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it has obtained prior written consent of the Relevant Authority</w:t>
      </w:r>
    </w:p>
    <w:p w:rsidR="00000000" w:rsidDel="00000000" w:rsidP="00000000" w:rsidRDefault="00000000" w:rsidRPr="00000000" w14:paraId="0000002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Relevant Authority has decided that there are Appropriate Safeguards</w:t>
      </w:r>
    </w:p>
    <w:p w:rsidR="00000000" w:rsidDel="00000000" w:rsidP="00000000" w:rsidRDefault="00000000" w:rsidRPr="00000000" w14:paraId="0000002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Data Subject has enforceable rights and effective legal remedies when transferred</w:t>
      </w:r>
    </w:p>
    <w:p w:rsidR="00000000" w:rsidDel="00000000" w:rsidP="00000000" w:rsidRDefault="00000000" w:rsidRPr="00000000" w14:paraId="0000002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Supplier meets its obligations under the Data Protection Legislation by providing an adequate level of protection to any Personal Data that is transferred</w:t>
      </w:r>
    </w:p>
    <w:p w:rsidR="00000000" w:rsidDel="00000000" w:rsidP="00000000" w:rsidRDefault="00000000" w:rsidRPr="00000000" w14:paraId="0000003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where the Supplier is not bound by Data Protection Legislation it must use its best endeavours to help the Relevant Authority meet its own obligations under Data Protection Legislation</w:t>
      </w:r>
    </w:p>
    <w:p w:rsidR="00000000" w:rsidDel="00000000" w:rsidP="00000000" w:rsidRDefault="00000000" w:rsidRPr="00000000" w14:paraId="0000003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Supplier complies with the Relevant Authority’s reasonable prior instructions about the processing of the Personal Data.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35"/>
          <w:tab w:val="left" w:leader="none" w:pos="5292"/>
        </w:tabs>
        <w:spacing w:after="20" w:before="20" w:line="240" w:lineRule="auto"/>
        <w:ind w:left="157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9. </w:t>
        <w:tab/>
        <w:t xml:space="preserve">The Supplier must notify the Relevant Authority immediately if it:</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Data Subject Access Request (or purported Data Subject Access Request)</w:t>
      </w:r>
    </w:p>
    <w:p w:rsidR="00000000" w:rsidDel="00000000" w:rsidP="00000000" w:rsidRDefault="00000000" w:rsidRPr="00000000" w14:paraId="0000003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request to rectify, block or erase any Personal Data</w:t>
      </w:r>
    </w:p>
    <w:p w:rsidR="00000000" w:rsidDel="00000000" w:rsidP="00000000" w:rsidRDefault="00000000" w:rsidRPr="00000000" w14:paraId="000000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any other request, complaint or communication relating to either Party's obligations under the Data Protection Legislation</w:t>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any communication from the Information Commissioner or any other regulatory authority in connection with Personal Data processed under this Contract</w:t>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request from any third Party for disclosure of Personal Data where compliance with the request is required or claims to be required by Law</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becomes aware of a Data Loss Event</w:t>
      </w:r>
    </w:p>
    <w:p w:rsidR="00000000" w:rsidDel="00000000" w:rsidP="00000000" w:rsidRDefault="00000000" w:rsidRPr="00000000" w14:paraId="0000003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10. Any requirement to notify under Paragraph 9 includes the provision of further information to the Relevant Authority in stages as details become available.</w:t>
      </w:r>
    </w:p>
    <w:p w:rsidR="00000000" w:rsidDel="00000000" w:rsidP="00000000" w:rsidRDefault="00000000" w:rsidRPr="00000000" w14:paraId="0000003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11. The Supplier must promptly provide the Relevant Authority with full assistance in relation to any Party's obligations under Data Protection Legislation and any complaint, communication or request made under Paragraph 9. This includes giving the Relevant Authority:</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full details and copies of the complaint, communication or request</w:t>
      </w:r>
    </w:p>
    <w:p w:rsidR="00000000" w:rsidDel="00000000" w:rsidP="00000000" w:rsidRDefault="00000000" w:rsidRPr="00000000" w14:paraId="0000004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reasonably requested assistance so that it can comply with a Data Subject Access Request within the relevant timescales in the Data Protection Legislation </w:t>
      </w:r>
    </w:p>
    <w:p w:rsidR="00000000" w:rsidDel="00000000" w:rsidP="00000000" w:rsidRDefault="00000000" w:rsidRPr="00000000" w14:paraId="0000004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any Personal Data it holds in relation to a Data Subject on request </w:t>
      </w:r>
    </w:p>
    <w:p w:rsidR="00000000" w:rsidDel="00000000" w:rsidP="00000000" w:rsidRDefault="00000000" w:rsidRPr="00000000" w14:paraId="0000004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assistance that it requests following any Data Loss Event</w:t>
      </w:r>
    </w:p>
    <w:p w:rsidR="00000000" w:rsidDel="00000000" w:rsidP="00000000" w:rsidRDefault="00000000" w:rsidRPr="00000000" w14:paraId="0000004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assistance that it requests relating to a consultation with, or request from, the Information Commissioner’s Office </w:t>
      </w:r>
    </w:p>
    <w:p w:rsidR="00000000" w:rsidDel="00000000" w:rsidP="00000000" w:rsidRDefault="00000000" w:rsidRPr="00000000" w14:paraId="0000004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12. The Supplier must maintain full, accurate records and information to show it complies with this Schedule. This requirement does not apply where the Supplier employs fewer than 250 staff, unless either the Relevant Authority determines that the processing:</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is not occasional</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includes special categories of data as referred to in Article 9(1) of the GDPR or Personal Data relating to criminal convictions and </w:t>
      </w:r>
      <w:r w:rsidDel="00000000" w:rsidR="00000000" w:rsidRPr="00000000">
        <w:rPr>
          <w:rFonts w:ascii="Arial" w:cs="Arial" w:eastAsia="Arial" w:hAnsi="Arial"/>
          <w:sz w:val="20"/>
          <w:szCs w:val="20"/>
          <w:rtl w:val="0"/>
        </w:rPr>
        <w:t xml:space="preserve">offenses</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referred to in Article 10 of the GDPR</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is likely to result in a risk to the rights and freedoms of Data Subjects</w:t>
      </w:r>
    </w:p>
    <w:p w:rsidR="00000000" w:rsidDel="00000000" w:rsidP="00000000" w:rsidRDefault="00000000" w:rsidRPr="00000000" w14:paraId="0000004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13. The Supplier must appoint a Data Protection Officer responsible for observing its obligations in this Schedule and give CCS and each Buyer their contact details.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as4poj" w:id="18"/>
      <w:bookmarkEnd w:id="18"/>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14. Before allowing any Sub processor to process any Personal Data, the Supplier must:</w:t>
      </w:r>
    </w:p>
    <w:p w:rsidR="00000000" w:rsidDel="00000000" w:rsidP="00000000" w:rsidRDefault="00000000" w:rsidRPr="00000000" w14:paraId="0000004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notify the Relevant Authority in writing of the intended Sub processor and processing</w:t>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obtain the written consent of the Relevant Authority</w:t>
      </w:r>
    </w:p>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enter into a written contract with the Sub processor so that this Schedule applies to the Sub processor</w:t>
      </w:r>
    </w:p>
    <w:p w:rsidR="00000000" w:rsidDel="00000000" w:rsidP="00000000" w:rsidRDefault="00000000" w:rsidRPr="00000000" w14:paraId="0000005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provide the Relevant Authority with any information about the Sub processor that the Relevant Authority reasonably requires</w:t>
      </w:r>
    </w:p>
    <w:p w:rsidR="00000000" w:rsidDel="00000000" w:rsidP="00000000" w:rsidRDefault="00000000" w:rsidRPr="00000000" w14:paraId="0000005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15. The Supplier remains fully liable for all acts or omissions of any Sub processor.</w:t>
      </w:r>
    </w:p>
    <w:p w:rsidR="00000000" w:rsidDel="00000000" w:rsidP="00000000" w:rsidRDefault="00000000" w:rsidRPr="00000000" w14:paraId="0000005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16. At any time the Relevant Authority can, with 30 Working Days notice to the Supplier, change this Schedule to:</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replace it with any applicable standard clauses (between the controller and processor</w:t>
      </w:r>
      <w:bookmarkStart w:colFirst="0" w:colLast="0" w:name="bookmark=id.1pxezwc" w:id="19"/>
      <w:bookmarkEnd w:id="19"/>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or similar terms forming part of an applicable certification scheme under GDPR Article 42</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ensure it complies with guidance issued by the Information Commissioner’s Office</w:t>
      </w:r>
    </w:p>
    <w:p w:rsidR="00000000" w:rsidDel="00000000" w:rsidP="00000000" w:rsidRDefault="00000000" w:rsidRPr="00000000" w14:paraId="0000005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17.  The Parties agree to take account of any non-mandatory guidance issued by the Information Commissioner’s Office.</w:t>
      </w:r>
    </w:p>
    <w:p w:rsidR="00000000" w:rsidDel="00000000" w:rsidP="00000000" w:rsidRDefault="00000000" w:rsidRPr="00000000" w14:paraId="0000005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D">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jc w:val="both"/>
        <w:rPr>
          <w:rFonts w:ascii="Arial" w:cs="Arial" w:eastAsia="Arial" w:hAnsi="Arial"/>
          <w:b w:val="1"/>
          <w:smallCap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F">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sz w:val="22"/>
          <w:szCs w:val="22"/>
          <w:u w:val="none"/>
          <w:shd w:fill="auto" w:val="clear"/>
          <w:vertAlign w:val="baseline"/>
        </w:rPr>
      </w:pPr>
      <w:r w:rsidDel="00000000" w:rsidR="00000000" w:rsidRPr="00000000">
        <w:rPr>
          <w:rFonts w:ascii="Calibri" w:cs="Calibri" w:eastAsia="Calibri" w:hAnsi="Calibri"/>
          <w:b w:val="1"/>
          <w:i w:val="0"/>
          <w:smallCaps w:val="1"/>
          <w:strike w:val="0"/>
          <w:sz w:val="22"/>
          <w:szCs w:val="22"/>
          <w:u w:val="none"/>
          <w:shd w:fill="auto" w:val="clear"/>
          <w:vertAlign w:val="baseline"/>
          <w:rtl w:val="0"/>
        </w:rPr>
        <w:t xml:space="preserve">ANNEX 1 </w:t>
      </w:r>
    </w:p>
    <w:p w:rsidR="00000000" w:rsidDel="00000000" w:rsidP="00000000" w:rsidRDefault="00000000" w:rsidRPr="00000000" w14:paraId="00000060">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sz w:val="22"/>
          <w:szCs w:val="22"/>
          <w:u w:val="none"/>
          <w:shd w:fill="auto" w:val="clear"/>
          <w:vertAlign w:val="baseline"/>
        </w:rPr>
      </w:pPr>
      <w:r w:rsidDel="00000000" w:rsidR="00000000" w:rsidRPr="00000000">
        <w:rPr>
          <w:rFonts w:ascii="Calibri" w:cs="Calibri" w:eastAsia="Calibri" w:hAnsi="Calibri"/>
          <w:b w:val="1"/>
          <w:i w:val="0"/>
          <w:smallCaps w:val="1"/>
          <w:strike w:val="0"/>
          <w:sz w:val="22"/>
          <w:szCs w:val="22"/>
          <w:u w:val="none"/>
          <w:shd w:fill="auto" w:val="clear"/>
          <w:vertAlign w:val="baseline"/>
          <w:rtl w:val="0"/>
        </w:rPr>
        <w:tab/>
        <w:tab/>
        <w:tab/>
        <w:tab/>
        <w:t xml:space="preserve">      AUTHORISED PROCESSING</w:t>
      </w:r>
      <w:bookmarkStart w:colFirst="0" w:colLast="0" w:name="bookmark=id.49x2ik5" w:id="20"/>
      <w:bookmarkEnd w:id="20"/>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1">
            <w:pPr>
              <w:rPr/>
            </w:pPr>
            <w:r w:rsidDel="00000000" w:rsidR="00000000" w:rsidRPr="00000000">
              <w:rPr>
                <w:b w:val="1"/>
                <w:sz w:val="24"/>
                <w:szCs w:val="24"/>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2">
            <w:pPr>
              <w:jc w:val="center"/>
              <w:rPr/>
            </w:pPr>
            <w:r w:rsidDel="00000000" w:rsidR="00000000" w:rsidRPr="00000000">
              <w:rPr>
                <w:b w:val="1"/>
                <w:sz w:val="24"/>
                <w:szCs w:val="24"/>
                <w:rtl w:val="0"/>
              </w:rPr>
              <w:t xml:space="preserve">Details</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rPr/>
            </w:pPr>
            <w:r w:rsidDel="00000000" w:rsidR="00000000" w:rsidRPr="00000000">
              <w:rPr>
                <w:rtl w:val="0"/>
              </w:rPr>
              <w:t xml:space="preserve">System Name &amp; Purpose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rPr>
                <w:i w:val="1"/>
              </w:rPr>
            </w:pPr>
            <w:r w:rsidDel="00000000" w:rsidR="00000000" w:rsidRPr="00000000">
              <w:rPr>
                <w:i w:val="1"/>
                <w:rtl w:val="0"/>
              </w:rPr>
              <w:t xml:space="preserve">Name of the system as it will be known and the service(s) delivered</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rPr/>
            </w:pPr>
            <w:r w:rsidDel="00000000" w:rsidR="00000000" w:rsidRPr="00000000">
              <w:rPr>
                <w:rtl w:val="0"/>
              </w:rPr>
              <w:t xml:space="preserve">Data Sub Processors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widowControl w:val="1"/>
              <w:numPr>
                <w:ilvl w:val="0"/>
                <w:numId w:val="2"/>
              </w:numPr>
              <w:spacing w:after="0" w:line="240" w:lineRule="auto"/>
              <w:ind w:left="720" w:hanging="360"/>
              <w:rPr>
                <w:i w:val="1"/>
              </w:rPr>
            </w:pPr>
            <w:r w:rsidDel="00000000" w:rsidR="00000000" w:rsidRPr="00000000">
              <w:rPr>
                <w:i w:val="1"/>
                <w:rtl w:val="0"/>
              </w:rPr>
              <w:t xml:space="preserve">List all Data Sub Processors (Suppliers), plus contact details for key personnel (Data Protection Officer or Head of Data Management, Client Manager, Onsite Managers)</w:t>
            </w:r>
          </w:p>
          <w:p w:rsidR="00000000" w:rsidDel="00000000" w:rsidP="00000000" w:rsidRDefault="00000000" w:rsidRPr="00000000" w14:paraId="00000067">
            <w:pPr>
              <w:widowControl w:val="1"/>
              <w:numPr>
                <w:ilvl w:val="0"/>
                <w:numId w:val="2"/>
              </w:numPr>
              <w:spacing w:after="0" w:line="240" w:lineRule="auto"/>
              <w:ind w:left="720" w:hanging="360"/>
              <w:rPr/>
            </w:pPr>
            <w:r w:rsidDel="00000000" w:rsidR="00000000" w:rsidRPr="00000000">
              <w:rPr>
                <w:i w:val="1"/>
                <w:rtl w:val="0"/>
              </w:rPr>
              <w:t xml:space="preserve">Complete all of the details below for all Data Sub Processors</w:t>
            </w:r>
            <w:r w:rsidDel="00000000" w:rsidR="00000000" w:rsidRPr="00000000">
              <w:rPr>
                <w:rtl w:val="0"/>
              </w:rPr>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rPr/>
            </w:pPr>
            <w:r w:rsidDel="00000000" w:rsidR="00000000" w:rsidRPr="00000000">
              <w:rPr>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rPr/>
            </w:pPr>
            <w:r w:rsidDel="00000000" w:rsidR="00000000" w:rsidRPr="00000000">
              <w:rPr>
                <w:i w:val="1"/>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rPr/>
            </w:pPr>
            <w:r w:rsidDel="00000000" w:rsidR="00000000" w:rsidRPr="00000000">
              <w:rPr>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rPr/>
            </w:pPr>
            <w:r w:rsidDel="00000000" w:rsidR="00000000" w:rsidRPr="00000000">
              <w:rPr>
                <w:i w:val="1"/>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6C">
            <w:pPr>
              <w:rPr/>
            </w:pPr>
            <w:r w:rsidDel="00000000" w:rsidR="00000000" w:rsidRPr="00000000">
              <w:rPr>
                <w:i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6D">
            <w:pPr>
              <w:rPr/>
            </w:pPr>
            <w:r w:rsidDel="00000000" w:rsidR="00000000" w:rsidRPr="00000000">
              <w:rPr>
                <w:i w:val="1"/>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rPr/>
            </w:pPr>
            <w:r w:rsidDel="00000000" w:rsidR="00000000" w:rsidRPr="00000000">
              <w:rPr>
                <w:i w:val="1"/>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rPr/>
            </w:pPr>
            <w:r w:rsidDel="00000000" w:rsidR="00000000" w:rsidRPr="00000000">
              <w:rPr>
                <w:i w:val="1"/>
                <w:rtl w:val="0"/>
              </w:rPr>
              <w:t xml:space="preserve">Examples include: Staff (including volunteers, agents, and temporary workers), customers /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rPr/>
            </w:pPr>
            <w:r w:rsidDel="00000000" w:rsidR="00000000" w:rsidRPr="00000000">
              <w:rPr>
                <w:rtl w:val="0"/>
              </w:rPr>
              <w:t xml:space="preserve">Data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rPr>
                <w:i w:val="1"/>
              </w:rPr>
            </w:pPr>
            <w:r w:rsidDel="00000000" w:rsidR="00000000" w:rsidRPr="00000000">
              <w:rPr>
                <w:i w:val="1"/>
                <w:rtl w:val="0"/>
              </w:rPr>
              <w:t xml:space="preserve">Is any part of the processing performed / accessed from outside if the UK / EEA? (Including by Sub Processor(s)). If so, how is it protected?</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rPr/>
            </w:pPr>
            <w:r w:rsidDel="00000000" w:rsidR="00000000" w:rsidRPr="00000000">
              <w:rPr>
                <w:rtl w:val="0"/>
              </w:rPr>
              <w:t xml:space="preserve">Plan for return and destruction of the data once the Processing is complete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rPr/>
            </w:pPr>
            <w:r w:rsidDel="00000000" w:rsidR="00000000" w:rsidRPr="00000000">
              <w:rPr>
                <w:i w:val="1"/>
                <w:rtl w:val="0"/>
              </w:rPr>
              <w:t xml:space="preserve">Describe how long the data will be retained for, how it be returned or destroyed</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rPr/>
            </w:pPr>
            <w:r w:rsidDel="00000000" w:rsidR="00000000" w:rsidRPr="00000000">
              <w:rPr>
                <w:rtl w:val="0"/>
              </w:rPr>
              <w:t xml:space="preserve">Buyer contact to notify if rights request received or data breach identified.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rPr>
                <w:i w:val="1"/>
              </w:rPr>
            </w:pPr>
            <w:r w:rsidDel="00000000" w:rsidR="00000000" w:rsidRPr="00000000">
              <w:rPr>
                <w:rtl w:val="0"/>
              </w:rPr>
            </w:r>
          </w:p>
        </w:tc>
      </w:tr>
    </w:tbl>
    <w:p w:rsidR="00000000" w:rsidDel="00000000" w:rsidP="00000000" w:rsidRDefault="00000000" w:rsidRPr="00000000" w14:paraId="00000078">
      <w:pPr>
        <w:widowControl w:val="1"/>
        <w:spacing w:after="240" w:before="480" w:line="240" w:lineRule="auto"/>
        <w:jc w:val="both"/>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Ref: RM3830</w:t>
      <w:tab/>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Model Version v3.0 Project Version v1.0</w:t>
    </w: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widowControl w:val="1"/>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1" distB="0" distT="0" distL="114300" distR="114300" hidden="0" layoutInCell="1" locked="0" relativeHeight="0" simplePos="0">
          <wp:simplePos x="0" y="0"/>
          <wp:positionH relativeFrom="column">
            <wp:posOffset>5486400</wp:posOffset>
          </wp:positionH>
          <wp:positionV relativeFrom="paragraph">
            <wp:posOffset>-190499</wp:posOffset>
          </wp:positionV>
          <wp:extent cx="825500" cy="692150"/>
          <wp:effectExtent b="0" l="0" r="0" t="0"/>
          <wp:wrapNone/>
          <wp:docPr descr="https://lh6.googleusercontent.com/eTjmBXx3xlUd8dXr189uAhL5wKMvtoARRd5PBHE4MvZbqArG__xeKNCp-_ICa_Qu_qG3FdHGHDf7h_MKkGbmHxXuZ50B3Fu_gZnxRpdnepmisW01VDhM2LPBlhdewL0po5oNN_w4" id="5"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07A">
    <w:pPr>
      <w:widowControl w:val="1"/>
      <w:spacing w:after="0" w:lineRule="auto"/>
      <w:rPr>
        <w:b w:val="1"/>
      </w:rPr>
    </w:pPr>
    <w:r w:rsidDel="00000000" w:rsidR="00000000" w:rsidRPr="00000000">
      <w:rPr>
        <w:b w:val="1"/>
        <w:rtl w:val="0"/>
      </w:rPr>
      <w:t xml:space="preserve">Joint Schedule 11 (Processing Data)</w:t>
    </w:r>
  </w:p>
  <w:p w:rsidR="00000000" w:rsidDel="00000000" w:rsidP="00000000" w:rsidRDefault="00000000" w:rsidRPr="00000000" w14:paraId="0000007B">
    <w:pPr>
      <w:widowControl w:val="1"/>
      <w:spacing w:after="0" w:lineRule="auto"/>
      <w:rPr/>
    </w:pPr>
    <w:r w:rsidDel="00000000" w:rsidR="00000000" w:rsidRPr="00000000">
      <w:rPr>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widowControl w:val="0"/>
      <w:autoSpaceDE w:val="0"/>
      <w:autoSpaceDN w:val="0"/>
      <w:adjustRightInd w:val="0"/>
      <w:spacing w:after="200" w:line="276" w:lineRule="auto"/>
    </w:pPr>
    <w:rPr>
      <w:rFonts w:ascii="Calibri" w:cs="Calibri" w:hAnsi="Calibri"/>
      <w:lang w:val="en-US"/>
    </w:rPr>
  </w:style>
  <w:style w:type="paragraph" w:styleId="Heading1">
    <w:name w:val="heading 1"/>
    <w:basedOn w:val="Normal"/>
    <w:next w:val="Normal"/>
    <w:link w:val="Heading1Char"/>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qFormat w:val="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qFormat w:val="1"/>
    <w:pPr>
      <w:keepNext w:val="1"/>
      <w:keepLines w:val="1"/>
      <w:spacing w:after="40" w:before="240"/>
      <w:outlineLvl w:val="3"/>
    </w:pPr>
    <w:rPr>
      <w:b w:val="1"/>
      <w:sz w:val="24"/>
      <w:szCs w:val="24"/>
    </w:rPr>
  </w:style>
  <w:style w:type="paragraph" w:styleId="Heading5">
    <w:name w:val="heading 5"/>
    <w:basedOn w:val="Normal"/>
    <w:next w:val="Normal"/>
    <w:link w:val="Heading5Char"/>
    <w:uiPriority w:val="9"/>
    <w:qFormat w:val="1"/>
    <w:pPr>
      <w:keepNext w:val="1"/>
      <w:keepLines w:val="1"/>
      <w:spacing w:after="40" w:before="220"/>
      <w:outlineLvl w:val="4"/>
    </w:pPr>
    <w:rPr>
      <w:b w:val="1"/>
    </w:rPr>
  </w:style>
  <w:style w:type="paragraph" w:styleId="Heading6">
    <w:name w:val="heading 6"/>
    <w:basedOn w:val="Normal"/>
    <w:next w:val="Normal"/>
    <w:link w:val="Heading6Char"/>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kern w:val="32"/>
      <w:sz w:val="32"/>
      <w:szCs w:val="32"/>
      <w:lang w:val="en-US"/>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i w:val="1"/>
      <w:iCs w:val="1"/>
      <w:sz w:val="28"/>
      <w:szCs w:val="28"/>
      <w:lang w:val="en-US"/>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sz w:val="26"/>
      <w:szCs w:val="26"/>
      <w:lang w:val="en-US"/>
    </w:rPr>
  </w:style>
  <w:style w:type="character" w:styleId="Heading4Char" w:customStyle="1">
    <w:name w:val="Heading 4 Char"/>
    <w:basedOn w:val="DefaultParagraphFont"/>
    <w:link w:val="Heading4"/>
    <w:uiPriority w:val="9"/>
    <w:semiHidden w:val="1"/>
    <w:rPr>
      <w:b w:val="1"/>
      <w:bCs w:val="1"/>
      <w:sz w:val="28"/>
      <w:szCs w:val="28"/>
      <w:lang w:val="en-US"/>
    </w:rPr>
  </w:style>
  <w:style w:type="character" w:styleId="Heading5Char" w:customStyle="1">
    <w:name w:val="Heading 5 Char"/>
    <w:basedOn w:val="DefaultParagraphFont"/>
    <w:link w:val="Heading5"/>
    <w:uiPriority w:val="9"/>
    <w:semiHidden w:val="1"/>
    <w:rPr>
      <w:b w:val="1"/>
      <w:bCs w:val="1"/>
      <w:i w:val="1"/>
      <w:iCs w:val="1"/>
      <w:sz w:val="26"/>
      <w:szCs w:val="26"/>
      <w:lang w:val="en-US"/>
    </w:rPr>
  </w:style>
  <w:style w:type="character" w:styleId="Heading6Char" w:customStyle="1">
    <w:name w:val="Heading 6 Char"/>
    <w:basedOn w:val="DefaultParagraphFont"/>
    <w:link w:val="Heading6"/>
    <w:uiPriority w:val="9"/>
    <w:semiHidden w:val="1"/>
    <w:rPr>
      <w:b w:val="1"/>
      <w:bCs w:val="1"/>
      <w:lang w:val="en-US"/>
    </w:rPr>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TitleChar" w:customStyle="1">
    <w:name w:val="Title Char"/>
    <w:basedOn w:val="DefaultParagraphFont"/>
    <w:link w:val="Title"/>
    <w:uiPriority w:val="10"/>
    <w:rPr>
      <w:rFonts w:asciiTheme="majorHAnsi" w:cstheme="majorBidi" w:eastAsiaTheme="majorEastAsia" w:hAnsiTheme="majorHAnsi"/>
      <w:b w:val="1"/>
      <w:bCs w:val="1"/>
      <w:kern w:val="28"/>
      <w:sz w:val="32"/>
      <w:szCs w:val="32"/>
      <w:lang w:val="en-US"/>
    </w:rPr>
  </w:style>
  <w:style w:type="paragraph" w:styleId="Header">
    <w:name w:val="header"/>
    <w:basedOn w:val="Normal"/>
    <w:link w:val="HeaderChar"/>
    <w:uiPriority w:val="99"/>
    <w:pPr>
      <w:tabs>
        <w:tab w:val="center" w:pos="4513"/>
        <w:tab w:val="right" w:pos="8630"/>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pPr>
      <w:tabs>
        <w:tab w:val="center" w:pos="4513"/>
        <w:tab w:val="right" w:pos="8630"/>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uiPriority w:val="20"/>
    <w:qFormat w:val="1"/>
    <w:rPr>
      <w:i w:val="1"/>
    </w:rPr>
  </w:style>
  <w:style w:type="paragraph" w:styleId="GPSSchTitleandNumber" w:customStyle="1">
    <w:name w:val="GPS Sch Title and Number"/>
    <w:basedOn w:val="Normal"/>
    <w:qFormat w:val="1"/>
    <w:pPr>
      <w:keepNext w:val="1"/>
      <w:spacing w:after="240" w:line="240" w:lineRule="auto"/>
      <w:jc w:val="center"/>
      <w:outlineLvl w:val="0"/>
    </w:pPr>
    <w:rPr>
      <w:rFonts w:ascii="Arial Bold" w:cs="Times New Roman" w:eastAsia="Times New Roman" w:hAnsi="Arial Bold"/>
      <w:b w:val="1"/>
      <w:caps w:val="1"/>
    </w:rPr>
  </w:style>
  <w:style w:type="character" w:styleId="GPSSchTitleandNumberChar" w:customStyle="1">
    <w:name w:val="GPS Sch Title and Number Char"/>
    <w:rPr>
      <w:rFonts w:ascii="Arial Bold" w:cs="Times New Roman" w:eastAsia="Times New Roman" w:hAnsi="Arial Bold"/>
      <w:b w:val="1"/>
      <w:caps w:val="1"/>
    </w:rPr>
  </w:style>
  <w:style w:type="paragraph" w:styleId="TSOLScheduleAnnexName" w:customStyle="1">
    <w:name w:val="TSOL Schedule Annex Name"/>
    <w:qFormat w:val="1"/>
    <w:pPr>
      <w:widowControl w:val="0"/>
      <w:autoSpaceDE w:val="0"/>
      <w:autoSpaceDN w:val="0"/>
      <w:adjustRightInd w:val="0"/>
      <w:spacing w:after="240" w:line="240" w:lineRule="auto"/>
      <w:jc w:val="center"/>
      <w:outlineLvl w:val="1"/>
    </w:pPr>
    <w:rPr>
      <w:rFonts w:ascii="Calibri" w:cs="Arial" w:eastAsia="Times New Roman" w:hAnsi="Calibri"/>
      <w:b w:val="1"/>
      <w:caps w:val="1"/>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basedOn w:val="CommentTextChar"/>
    <w:link w:val="CommentSubject"/>
    <w:uiPriority w:val="99"/>
    <w:rPr>
      <w:b w:val="1"/>
      <w:sz w:val="20"/>
      <w:szCs w:val="20"/>
    </w:r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paragraph" w:styleId="Normal1" w:customStyle="1">
    <w:name w:val="Normal1"/>
    <w:pPr>
      <w:widowControl w:val="0"/>
      <w:autoSpaceDE w:val="0"/>
      <w:autoSpaceDN w:val="0"/>
      <w:adjustRightInd w:val="0"/>
      <w:spacing w:after="80" w:line="240" w:lineRule="auto"/>
    </w:pPr>
    <w:rPr>
      <w:rFonts w:ascii="Calibri" w:cs="Calibri" w:hAnsi="Calibri"/>
      <w:color w:val="000000"/>
      <w:lang w:val="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GPSL2Numbered" w:customStyle="1">
    <w:name w:val="GPS L2 Numbered"/>
    <w:basedOn w:val="Normal"/>
    <w:qFormat w:val="1"/>
    <w:pPr>
      <w:tabs>
        <w:tab w:val="left" w:pos="709"/>
        <w:tab w:val="left" w:pos="1134"/>
      </w:tabs>
      <w:spacing w:after="120" w:before="120" w:line="240" w:lineRule="auto"/>
      <w:jc w:val="both"/>
    </w:pPr>
    <w:rPr>
      <w:rFonts w:cs="Arial"/>
    </w:rPr>
  </w:style>
  <w:style w:type="character" w:styleId="GPSL2NumberedChar" w:customStyle="1">
    <w:name w:val="GPS L2 Numbered Char"/>
    <w:rPr>
      <w:rFonts w:ascii="Calibri" w:cs="Arial" w:hAnsi="Calibri"/>
    </w:rPr>
  </w:style>
  <w:style w:type="paragraph" w:styleId="Revision">
    <w:name w:val="Revision"/>
    <w:hidden w:val="1"/>
    <w:uiPriority w:val="99"/>
    <w:pPr>
      <w:widowControl w:val="0"/>
      <w:autoSpaceDE w:val="0"/>
      <w:autoSpaceDN w:val="0"/>
      <w:adjustRightInd w:val="0"/>
      <w:spacing w:after="0" w:line="240" w:lineRule="auto"/>
    </w:pPr>
    <w:rPr>
      <w:rFonts w:ascii="Calibri" w:cs="Calibri" w:hAnsi="Calibri"/>
      <w:lang w:val="en-US"/>
    </w:rPr>
  </w:style>
  <w:style w:type="paragraph" w:styleId="ScheduleTitleClause" w:customStyle="1">
    <w:name w:val="Schedule Title Clause"/>
    <w:basedOn w:val="Normal"/>
    <w:pPr>
      <w:keepNext w:val="1"/>
      <w:numPr>
        <w:ilvl w:val="2"/>
        <w:numId w:val="1"/>
      </w:numPr>
      <w:spacing w:after="240" w:before="240" w:line="300" w:lineRule="atLeast"/>
      <w:jc w:val="both"/>
      <w:outlineLvl w:val="0"/>
    </w:pPr>
    <w:rPr>
      <w:rFonts w:ascii="Arial" w:cs="Times New Roman" w:hAnsi="Arial"/>
      <w:b w:val="1"/>
      <w:color w:val="000000"/>
      <w:kern w:val="28"/>
      <w:szCs w:val="20"/>
    </w:rPr>
  </w:style>
  <w:style w:type="paragraph" w:styleId="ScheduleUntitledsubclause1" w:customStyle="1">
    <w:name w:val="Schedule Untitled subclause 1"/>
    <w:basedOn w:val="Normal"/>
    <w:pPr>
      <w:numPr>
        <w:ilvl w:val="3"/>
        <w:numId w:val="1"/>
      </w:numPr>
      <w:spacing w:after="120" w:before="280" w:line="300" w:lineRule="atLeast"/>
      <w:jc w:val="both"/>
      <w:outlineLvl w:val="1"/>
    </w:pPr>
    <w:rPr>
      <w:rFonts w:ascii="Arial" w:cs="Times New Roman" w:hAnsi="Arial"/>
      <w:color w:val="000000"/>
      <w:szCs w:val="20"/>
    </w:rPr>
  </w:style>
  <w:style w:type="paragraph" w:styleId="ScheduleUntitledsubclause2" w:customStyle="1">
    <w:name w:val="Schedule Untitled subclause 2"/>
    <w:basedOn w:val="Normal"/>
    <w:pPr>
      <w:numPr>
        <w:ilvl w:val="4"/>
        <w:numId w:val="1"/>
      </w:numPr>
      <w:spacing w:after="120" w:line="300" w:lineRule="atLeast"/>
      <w:jc w:val="both"/>
      <w:outlineLvl w:val="2"/>
    </w:pPr>
    <w:rPr>
      <w:rFonts w:ascii="Arial" w:cs="Times New Roman" w:hAnsi="Arial"/>
      <w:color w:val="000000"/>
      <w:szCs w:val="20"/>
    </w:rPr>
  </w:style>
  <w:style w:type="paragraph" w:styleId="ScheduleUntitledsubclause3" w:customStyle="1">
    <w:name w:val="Schedule Untitled subclause 3"/>
    <w:basedOn w:val="Normal"/>
    <w:pPr>
      <w:numPr>
        <w:ilvl w:val="5"/>
        <w:numId w:val="1"/>
      </w:numPr>
      <w:tabs>
        <w:tab w:val="left" w:pos="2261"/>
      </w:tabs>
      <w:spacing w:after="120" w:line="300" w:lineRule="atLeast"/>
      <w:jc w:val="both"/>
      <w:outlineLvl w:val="3"/>
    </w:pPr>
    <w:rPr>
      <w:rFonts w:ascii="Arial" w:cs="Times New Roman" w:hAnsi="Arial"/>
      <w:color w:val="000000"/>
      <w:szCs w:val="20"/>
    </w:rPr>
  </w:style>
  <w:style w:type="paragraph" w:styleId="Schedule" w:customStyle="1">
    <w:name w:val="Schedule"/>
    <w:qFormat w:val="1"/>
    <w:pPr>
      <w:widowControl w:val="0"/>
      <w:numPr>
        <w:numId w:val="1"/>
      </w:numPr>
      <w:autoSpaceDE w:val="0"/>
      <w:autoSpaceDN w:val="0"/>
      <w:adjustRightInd w:val="0"/>
      <w:spacing w:after="240" w:before="240" w:line="240" w:lineRule="atLeast"/>
    </w:pPr>
    <w:rPr>
      <w:rFonts w:ascii="Arial" w:cs="Times New Roman" w:hAnsi="Arial"/>
      <w:b w:val="1"/>
      <w:color w:val="000000"/>
      <w:lang w:val="en-US"/>
    </w:rPr>
  </w:style>
  <w:style w:type="paragraph" w:styleId="Part" w:customStyle="1">
    <w:name w:val="Part"/>
    <w:basedOn w:val="Normal"/>
    <w:qFormat w:val="1"/>
    <w:pPr>
      <w:numPr>
        <w:ilvl w:val="1"/>
        <w:numId w:val="1"/>
      </w:numPr>
      <w:spacing w:after="240" w:before="240" w:line="300" w:lineRule="atLeast"/>
    </w:pPr>
    <w:rPr>
      <w:rFonts w:ascii="Arial" w:cs="Times New Roman" w:hAnsi="Arial"/>
      <w:b w:val="1"/>
      <w:color w:val="000000"/>
      <w:szCs w:val="20"/>
    </w:rPr>
  </w:style>
  <w:style w:type="paragraph" w:styleId="NormalWeb">
    <w:name w:val="Normal (Web)"/>
    <w:basedOn w:val="Normal"/>
    <w:uiPriority w:val="99"/>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style>
  <w:style w:type="paragraph" w:styleId="ListParagraph">
    <w:name w:val="List Paragraph"/>
    <w:basedOn w:val="Normal"/>
    <w:uiPriority w:val="34"/>
    <w:qFormat w:val="1"/>
    <w:pPr>
      <w:suppressAutoHyphens w:val="1"/>
      <w:ind w:left="720"/>
    </w:pPr>
    <w:rPr>
      <w:rFonts w:cs="Times New Roman"/>
    </w:rPr>
  </w:style>
  <w:style w:type="paragraph" w:styleId="GPsDefinition" w:customStyle="1">
    <w:name w:val="GPs Definition"/>
    <w:basedOn w:val="Normal"/>
    <w:qFormat w:val="1"/>
    <w:pPr>
      <w:tabs>
        <w:tab w:val="left" w:pos="-179"/>
      </w:tabs>
      <w:spacing w:after="120" w:line="240" w:lineRule="auto"/>
      <w:jc w:val="both"/>
    </w:pPr>
    <w:rPr>
      <w:rFonts w:ascii="Arial" w:cs="Arial" w:hAnsi="Arial"/>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Times New Roman" w:hAnsi="Georgia"/>
      <w:i w:val="1"/>
      <w:color w:val="666666"/>
      <w:sz w:val="48"/>
      <w:szCs w:val="48"/>
    </w:rPr>
  </w:style>
  <w:style w:type="character" w:styleId="SubtitleChar" w:customStyle="1">
    <w:name w:val="Subtitle Char"/>
    <w:basedOn w:val="DefaultParagraphFont"/>
    <w:link w:val="Subtitle"/>
    <w:uiPriority w:val="11"/>
    <w:rPr>
      <w:rFonts w:asciiTheme="majorHAnsi" w:cstheme="majorBidi" w:eastAsiaTheme="majorEastAsia" w:hAnsiTheme="majorHAnsi"/>
      <w:sz w:val="24"/>
      <w:szCs w:val="24"/>
      <w:lang w:val="en-US"/>
    </w:rPr>
  </w:style>
  <w:style w:type="paragraph" w:styleId="TOC1">
    <w:name w:val="toc 1"/>
    <w:basedOn w:val="Normal"/>
    <w:next w:val="Normal"/>
    <w:autoRedefine w:val="1"/>
    <w:uiPriority w:val="39"/>
    <w:pPr>
      <w:spacing w:after="100"/>
    </w:pPr>
  </w:style>
  <w:style w:type="paragraph" w:styleId="TOC4">
    <w:name w:val="toc 4"/>
    <w:basedOn w:val="Normal"/>
    <w:next w:val="Normal"/>
    <w:autoRedefine w:val="1"/>
    <w:uiPriority w:val="39"/>
    <w:pPr>
      <w:spacing w:after="100"/>
      <w:ind w:left="660"/>
    </w:pPr>
  </w:style>
  <w:style w:type="paragraph" w:styleId="DeltaViewTableHeading" w:customStyle="1">
    <w:name w:val="DeltaView Table Heading"/>
    <w:basedOn w:val="Normal"/>
    <w:uiPriority w:val="99"/>
    <w:pPr>
      <w:widowControl w:val="1"/>
      <w:spacing w:after="120" w:line="240" w:lineRule="auto"/>
    </w:pPr>
    <w:rPr>
      <w:rFonts w:ascii="Arial" w:hAnsi="Arial"/>
      <w:b w:val="1"/>
      <w:sz w:val="24"/>
      <w:szCs w:val="24"/>
    </w:rPr>
  </w:style>
  <w:style w:type="paragraph" w:styleId="DeltaViewTableBody" w:customStyle="1">
    <w:name w:val="DeltaView Table Body"/>
    <w:basedOn w:val="Normal"/>
    <w:uiPriority w:val="99"/>
    <w:pPr>
      <w:widowControl w:val="1"/>
      <w:spacing w:after="0" w:line="240" w:lineRule="auto"/>
    </w:pPr>
    <w:rPr>
      <w:rFonts w:ascii="Arial" w:hAnsi="Arial"/>
      <w:sz w:val="24"/>
      <w:szCs w:val="24"/>
    </w:rPr>
  </w:style>
  <w:style w:type="paragraph" w:styleId="DeltaViewAnnounce" w:customStyle="1">
    <w:name w:val="DeltaView Announce"/>
    <w:uiPriority w:val="99"/>
    <w:pPr>
      <w:autoSpaceDE w:val="0"/>
      <w:autoSpaceDN w:val="0"/>
      <w:adjustRightInd w:val="0"/>
      <w:spacing w:after="100" w:afterAutospacing="1" w:before="100" w:beforeAutospacing="1" w:line="240" w:lineRule="auto"/>
    </w:pPr>
    <w:rPr>
      <w:rFonts w:ascii="Arial" w:cs="Calibri" w:hAnsi="Arial"/>
      <w:sz w:val="24"/>
      <w:szCs w:val="24"/>
    </w:rPr>
  </w:style>
  <w:style w:type="paragraph" w:styleId="BodyText">
    <w:name w:val="Body Text"/>
    <w:basedOn w:val="Normal"/>
    <w:link w:val="BodyTextChar"/>
    <w:uiPriority w:val="99"/>
    <w:pPr>
      <w:widowControl w:val="1"/>
      <w:spacing w:after="0" w:line="240" w:lineRule="auto"/>
    </w:pPr>
    <w:rPr>
      <w:sz w:val="18"/>
      <w:szCs w:val="24"/>
    </w:rPr>
  </w:style>
  <w:style w:type="character" w:styleId="BodyTextChar" w:customStyle="1">
    <w:name w:val="Body Text Char"/>
    <w:basedOn w:val="DefaultParagraphFont"/>
    <w:link w:val="BodyText"/>
    <w:uiPriority w:val="99"/>
    <w:semiHidden w:val="1"/>
    <w:rPr>
      <w:rFonts w:ascii="Calibri" w:cs="Calibri" w:hAnsi="Calibri"/>
      <w:lang w:val="en-US"/>
    </w:rPr>
  </w:style>
  <w:style w:type="character" w:styleId="DeltaViewInsertion" w:customStyle="1">
    <w:name w:val="DeltaView Insertion"/>
    <w:uiPriority w:val="99"/>
    <w:rPr>
      <w:color w:val="0000ff"/>
    </w:rPr>
  </w:style>
  <w:style w:type="character" w:styleId="DeltaViewDeletion" w:customStyle="1">
    <w:name w:val="DeltaView Deletion"/>
    <w:uiPriority w:val="99"/>
    <w:rPr>
      <w:strike w:val="1"/>
      <w:color w:val="ff0000"/>
    </w:rPr>
  </w:style>
  <w:style w:type="character" w:styleId="DeltaViewMoveSource" w:customStyle="1">
    <w:name w:val="DeltaView Move Source"/>
    <w:uiPriority w:val="99"/>
    <w:rPr>
      <w:strike w:val="1"/>
      <w:color w:val="00c000"/>
    </w:rPr>
  </w:style>
  <w:style w:type="character" w:styleId="DeltaViewMoveDestination" w:customStyle="1">
    <w:name w:val="DeltaView Move Destination"/>
    <w:uiPriority w:val="99"/>
    <w:rPr>
      <w:color w:val="00c000"/>
      <w:u w:val="double"/>
    </w:rPr>
  </w:style>
  <w:style w:type="character" w:styleId="DeltaViewChangeNumber" w:customStyle="1">
    <w:name w:val="DeltaView Change Number"/>
    <w:uiPriority w:val="99"/>
    <w:rPr>
      <w:color w:val="000000"/>
      <w:vertAlign w:val="superscript"/>
    </w:rPr>
  </w:style>
  <w:style w:type="character" w:styleId="DeltaViewDelimiter" w:customStyle="1">
    <w:name w:val="DeltaView Delimiter"/>
    <w:uiPriority w:val="99"/>
  </w:style>
  <w:style w:type="paragraph" w:styleId="DocumentMap">
    <w:name w:val="Document Map"/>
    <w:basedOn w:val="Normal"/>
    <w:next w:val="CommentSubject"/>
    <w:link w:val="DocumentMapChar"/>
    <w:uiPriority w:val="99"/>
    <w:pPr>
      <w:widowControl w:val="1"/>
      <w:shd w:color="auto" w:fill="000080" w:val="clear"/>
      <w:spacing w:after="0" w:line="240" w:lineRule="auto"/>
    </w:pPr>
    <w:rPr>
      <w:rFonts w:ascii="Tahoma" w:hAnsi="Tahoma"/>
      <w:sz w:val="24"/>
      <w:szCs w:val="24"/>
    </w:rPr>
  </w:style>
  <w:style w:type="character" w:styleId="DocumentMapChar" w:customStyle="1">
    <w:name w:val="Document Map Char"/>
    <w:basedOn w:val="DefaultParagraphFont"/>
    <w:link w:val="DocumentMap"/>
    <w:uiPriority w:val="99"/>
    <w:semiHidden w:val="1"/>
    <w:rPr>
      <w:rFonts w:ascii="Segoe UI" w:cs="Segoe UI" w:hAnsi="Segoe UI"/>
      <w:sz w:val="16"/>
      <w:szCs w:val="16"/>
      <w:lang w:val="en-US"/>
    </w:rPr>
  </w:style>
  <w:style w:type="character" w:styleId="DeltaViewFormatChange" w:customStyle="1">
    <w:name w:val="DeltaView Format Change"/>
    <w:uiPriority w:val="99"/>
    <w:rPr>
      <w:color w:val="000000"/>
    </w:rPr>
  </w:style>
  <w:style w:type="character" w:styleId="DeltaViewMovedDeletion" w:customStyle="1">
    <w:name w:val="DeltaView Moved Deletion"/>
    <w:uiPriority w:val="99"/>
    <w:rPr>
      <w:strike w:val="1"/>
      <w:color w:val="c08080"/>
    </w:rPr>
  </w:style>
  <w:style w:type="character" w:styleId="DeltaViewComment" w:customStyle="1">
    <w:name w:val="DeltaView Comment"/>
    <w:basedOn w:val="DefaultParagraphFont"/>
    <w:uiPriority w:val="99"/>
    <w:rPr>
      <w:color w:val="000000"/>
    </w:rPr>
  </w:style>
  <w:style w:type="character" w:styleId="DeltaViewStyleChangeText" w:customStyle="1">
    <w:name w:val="DeltaView Style Change Text"/>
    <w:uiPriority w:val="99"/>
    <w:rPr>
      <w:color w:val="000000"/>
      <w:u w:val="double"/>
    </w:rPr>
  </w:style>
  <w:style w:type="character" w:styleId="DeltaViewStyleChangeLabel" w:customStyle="1">
    <w:name w:val="DeltaView Style Change Label"/>
    <w:uiPriority w:val="99"/>
    <w:rPr>
      <w:color w:val="000000"/>
    </w:rPr>
  </w:style>
  <w:style w:type="character" w:styleId="DeltaViewInsertedComment" w:customStyle="1">
    <w:name w:val="DeltaView Inserted Comment"/>
    <w:basedOn w:val="DefaultParagraphFont"/>
    <w:uiPriority w:val="99"/>
    <w:rPr>
      <w:color w:val="0000ff"/>
      <w:u w:val="double"/>
    </w:rPr>
  </w:style>
  <w:style w:type="character" w:styleId="DeltaViewDeletedComment" w:customStyle="1">
    <w:name w:val="DeltaView Deleted Comment"/>
    <w:basedOn w:val="DefaultParagraphFont"/>
    <w:uiPriority w:val="99"/>
    <w:rPr>
      <w:strike w:val="1"/>
      <w:color w:val="ff0000"/>
    </w:rPr>
  </w:style>
  <w:style w:type="character" w:styleId="DeltaViewParagraphAlignmentChanged" w:customStyle="1">
    <w:name w:val="DeltaView Paragraph Alignment Changed"/>
    <w:basedOn w:val="DefaultParagraphFont"/>
    <w:uiPriority w:val="99"/>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f69yPqBol3VPXJmM5KYJNC/FsQ==">CgMxLjAyCWguMWZvYjl0ZTIIaC5namRneHMyCWguMmV0OTJwMDIIaC50eWpjd3QyCWguM2R5NnZrbTIJaC4xdDNoNXNmMgloLjRkMzRvZzgyCWguMnM4ZXlvMTIJaC4xN2RwOHZ1MgloLjNyZGNyam4yCWguMjZpbjFyZzIIaC5sbnhiejkyCWguNDRzaW5pbzIJaC4zajJxcW0zMgloLjJ4Y3l0cGkyCWguM3dod21sNDIJaC4yYm42d3N4MghoLnFzaDcwcTIJaC4zYXM0cG9qMgppZC4xcHhlendjMgppZC40OXgyaWs1OAByITFESTRkMVFqUnk2SlluUnhFM1ZfX3hScVBMMVoxUXJh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2022-09-21T14:54:00Z</dcterms:created>
  <dc:creator>Rachael James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